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4AE" w:rsidRPr="009404AE" w:rsidRDefault="009404AE" w:rsidP="009404AE">
      <w:pPr>
        <w:shd w:val="clear" w:color="auto" w:fill="FFFFFF"/>
        <w:spacing w:after="0" w:line="420" w:lineRule="atLeast"/>
        <w:rPr>
          <w:rFonts w:ascii="Georgia" w:eastAsia="Times New Roman" w:hAnsi="Georgia" w:cs="Times New Roman"/>
          <w:color w:val="0066CC"/>
          <w:sz w:val="33"/>
          <w:szCs w:val="33"/>
          <w:lang w:eastAsia="es-AR"/>
        </w:rPr>
      </w:pPr>
      <w:r w:rsidRPr="009404AE">
        <w:rPr>
          <w:rFonts w:ascii="Georgia" w:eastAsia="Times New Roman" w:hAnsi="Georgia" w:cs="Times New Roman"/>
          <w:color w:val="0066CC"/>
          <w:sz w:val="33"/>
          <w:szCs w:val="33"/>
          <w:lang w:eastAsia="es-AR"/>
        </w:rPr>
        <w:t>Abogan por un tratamiento rápido de esta población</w:t>
      </w:r>
      <w:r w:rsidRPr="009404AE">
        <w:rPr>
          <w:rFonts w:ascii="Arial" w:eastAsia="Times New Roman" w:hAnsi="Arial" w:cs="Arial"/>
          <w:color w:val="999999"/>
          <w:sz w:val="21"/>
          <w:szCs w:val="21"/>
          <w:lang w:eastAsia="es-AR"/>
        </w:rPr>
        <w:t> | 28 FEB 19</w:t>
      </w:r>
    </w:p>
    <w:p w:rsidR="009404AE" w:rsidRPr="009404AE" w:rsidRDefault="009404AE" w:rsidP="009404AE">
      <w:pPr>
        <w:shd w:val="clear" w:color="auto" w:fill="FFFFFF"/>
        <w:spacing w:after="120" w:line="540" w:lineRule="atLeast"/>
        <w:rPr>
          <w:rFonts w:ascii="Georgia" w:eastAsia="Times New Roman" w:hAnsi="Georgia" w:cs="Times New Roman"/>
          <w:b/>
          <w:bCs/>
          <w:color w:val="000000"/>
          <w:sz w:val="48"/>
          <w:szCs w:val="48"/>
          <w:lang w:eastAsia="es-AR"/>
        </w:rPr>
      </w:pPr>
      <w:r w:rsidRPr="009404AE">
        <w:rPr>
          <w:rFonts w:ascii="Georgia" w:eastAsia="Times New Roman" w:hAnsi="Georgia" w:cs="Times New Roman"/>
          <w:b/>
          <w:bCs/>
          <w:color w:val="000000"/>
          <w:sz w:val="48"/>
          <w:szCs w:val="48"/>
          <w:lang w:eastAsia="es-AR"/>
        </w:rPr>
        <w:t>Infección urinaria en ancianos: retrasar ATB se asocia a sepsis y muerte</w:t>
      </w:r>
    </w:p>
    <w:p w:rsidR="009404AE" w:rsidRPr="009404AE" w:rsidRDefault="009404AE" w:rsidP="009404AE">
      <w:pPr>
        <w:shd w:val="clear" w:color="auto" w:fill="FFFFFF"/>
        <w:spacing w:after="0" w:line="450" w:lineRule="atLeast"/>
        <w:rPr>
          <w:rFonts w:ascii="Georgia" w:eastAsia="Times New Roman" w:hAnsi="Georgia" w:cs="Times New Roman"/>
          <w:color w:val="000000"/>
          <w:sz w:val="33"/>
          <w:szCs w:val="33"/>
          <w:lang w:eastAsia="es-AR"/>
        </w:rPr>
      </w:pPr>
      <w:r w:rsidRPr="009404AE">
        <w:rPr>
          <w:rFonts w:ascii="Georgia" w:eastAsia="Times New Roman" w:hAnsi="Georgia" w:cs="Times New Roman"/>
          <w:color w:val="000000"/>
          <w:sz w:val="33"/>
          <w:szCs w:val="33"/>
          <w:lang w:eastAsia="es-AR"/>
        </w:rPr>
        <w:t>Para las personas mayores con infecciones urinarias, el retraso en el uso de antibióticos se relacionan con la sepsis y la muerte</w:t>
      </w:r>
    </w:p>
    <w:p w:rsidR="009404AE" w:rsidRPr="009404AE" w:rsidRDefault="009404AE" w:rsidP="009404AE">
      <w:pPr>
        <w:shd w:val="clear" w:color="auto" w:fill="FFFFFF"/>
        <w:spacing w:after="150" w:line="450" w:lineRule="atLeast"/>
        <w:textAlignment w:val="center"/>
        <w:rPr>
          <w:rFonts w:ascii="Arial" w:eastAsia="Times New Roman" w:hAnsi="Arial" w:cs="Arial"/>
          <w:color w:val="000000"/>
          <w:sz w:val="36"/>
          <w:szCs w:val="36"/>
          <w:lang w:val="en-US" w:eastAsia="es-AR"/>
        </w:rPr>
      </w:pPr>
      <w:r w:rsidRPr="009404AE">
        <w:rPr>
          <w:rFonts w:ascii="Arial" w:eastAsia="Times New Roman" w:hAnsi="Arial" w:cs="Arial"/>
          <w:color w:val="000000"/>
          <w:sz w:val="20"/>
          <w:szCs w:val="20"/>
          <w:lang w:val="en-US" w:eastAsia="es-AR"/>
        </w:rPr>
        <w:t>1</w:t>
      </w:r>
    </w:p>
    <w:p w:rsidR="009404AE" w:rsidRPr="009404AE" w:rsidRDefault="009404AE" w:rsidP="009404AE">
      <w:pPr>
        <w:shd w:val="clear" w:color="auto" w:fill="FFFFFF"/>
        <w:spacing w:after="0" w:line="225" w:lineRule="atLeast"/>
        <w:rPr>
          <w:rFonts w:ascii="Arial" w:eastAsia="Times New Roman" w:hAnsi="Arial" w:cs="Arial"/>
          <w:i/>
          <w:iCs/>
          <w:color w:val="333333"/>
          <w:sz w:val="17"/>
          <w:szCs w:val="17"/>
          <w:lang w:val="en-US" w:eastAsia="es-AR"/>
        </w:rPr>
      </w:pPr>
      <w:r w:rsidRPr="009404AE">
        <w:rPr>
          <w:rFonts w:ascii="Arial" w:eastAsia="Times New Roman" w:hAnsi="Arial" w:cs="Arial"/>
          <w:i/>
          <w:iCs/>
          <w:color w:val="333333"/>
          <w:sz w:val="17"/>
          <w:szCs w:val="17"/>
          <w:lang w:val="en-US" w:eastAsia="es-AR"/>
        </w:rPr>
        <w:t>Autor: Myriam Gharbi, honorary research associate, Joseph H Drysdale, student, Hannah Lishman, research assistant Fuente: BMJ 2019; 364 doi: https://doi.org/10.1136/bmj.l525 </w:t>
      </w:r>
      <w:hyperlink r:id="rId7" w:tgtFrame="_blank" w:history="1">
        <w:r w:rsidRPr="009404AE">
          <w:rPr>
            <w:rFonts w:ascii="Arial" w:eastAsia="Times New Roman" w:hAnsi="Arial" w:cs="Arial"/>
            <w:i/>
            <w:iCs/>
            <w:color w:val="003399"/>
            <w:sz w:val="17"/>
            <w:szCs w:val="17"/>
            <w:lang w:val="en-US" w:eastAsia="es-AR"/>
          </w:rPr>
          <w:t>Antibiotic management of urinary tract infection in elderly patients in primary care and its association with bloodstream infections and all cause mortality: population based cohort study</w:t>
        </w:r>
      </w:hyperlink>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b/>
          <w:bCs/>
          <w:color w:val="333333"/>
          <w:sz w:val="27"/>
          <w:szCs w:val="27"/>
          <w:lang w:eastAsia="es-AR"/>
        </w:rPr>
        <w:t>Introducción</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La infección del tracto urinario (ITU) es la infección bacteriana más común en la población de pacientes mayores, y la Escherichia coli es el uropatógeno más común en personas de más de 65 años de edad que viven en la comunidad.</w:t>
      </w:r>
    </w:p>
    <w:p w:rsidR="009404AE" w:rsidRPr="009404AE" w:rsidRDefault="009404AE" w:rsidP="009404AE">
      <w:pPr>
        <w:shd w:val="clear" w:color="auto" w:fill="FFFFFF"/>
        <w:spacing w:beforeAutospacing="1" w:after="100" w:afterAutospacing="1" w:line="450" w:lineRule="atLeast"/>
        <w:rPr>
          <w:rFonts w:ascii="Georgia" w:eastAsia="Times New Roman" w:hAnsi="Georgia" w:cs="Times New Roman"/>
          <w:i/>
          <w:iCs/>
          <w:color w:val="333333"/>
          <w:sz w:val="30"/>
          <w:szCs w:val="30"/>
          <w:lang w:eastAsia="es-AR"/>
        </w:rPr>
      </w:pPr>
      <w:r w:rsidRPr="009404AE">
        <w:rPr>
          <w:rFonts w:ascii="Georgia" w:eastAsia="Times New Roman" w:hAnsi="Georgia" w:cs="Times New Roman"/>
          <w:i/>
          <w:iCs/>
          <w:color w:val="333333"/>
          <w:sz w:val="30"/>
          <w:szCs w:val="30"/>
          <w:lang w:eastAsia="es-AR"/>
        </w:rPr>
        <w:t>El espectro de IU varía de una enfermedad leve autolimitada a una sepsis grave, con una tasa de mortalidad del 20-40%.</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La incidencia de sepsis y su mortalidad asociada aumentan de forma desproporcionada con la edad, y es más probable que la IU en los </w:t>
      </w:r>
      <w:r w:rsidRPr="009404AE">
        <w:rPr>
          <w:rFonts w:ascii="Georgia" w:eastAsia="Times New Roman" w:hAnsi="Georgia" w:cs="Times New Roman"/>
          <w:b/>
          <w:bCs/>
          <w:color w:val="333333"/>
          <w:sz w:val="27"/>
          <w:szCs w:val="27"/>
          <w:lang w:eastAsia="es-AR"/>
        </w:rPr>
        <w:t>hombres </w:t>
      </w:r>
      <w:r w:rsidRPr="009404AE">
        <w:rPr>
          <w:rFonts w:ascii="Georgia" w:eastAsia="Times New Roman" w:hAnsi="Georgia" w:cs="Times New Roman"/>
          <w:color w:val="333333"/>
          <w:sz w:val="27"/>
          <w:szCs w:val="27"/>
          <w:lang w:eastAsia="es-AR"/>
        </w:rPr>
        <w:t>sea grave. Ambos sexos desarrollan una IU en la vejez, con una proporción de mujeres y hombres de 2: 1 en pacientes mayores de 70 años en comparación con la abrumadora susceptibilidad a las infecciones urinarias de mujeres en poblaciones más jóvenes, con una proporción de 50: 1.</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El diagnóstico de ITU en pacientes mayores puede ser problemático, ya que estos pacientes </w:t>
      </w:r>
      <w:r w:rsidRPr="009404AE">
        <w:rPr>
          <w:rFonts w:ascii="Georgia" w:eastAsia="Times New Roman" w:hAnsi="Georgia" w:cs="Times New Roman"/>
          <w:b/>
          <w:bCs/>
          <w:color w:val="333333"/>
          <w:sz w:val="27"/>
          <w:szCs w:val="27"/>
          <w:lang w:eastAsia="es-AR"/>
        </w:rPr>
        <w:t>no presentan</w:t>
      </w:r>
      <w:r w:rsidRPr="009404AE">
        <w:rPr>
          <w:rFonts w:ascii="Georgia" w:eastAsia="Times New Roman" w:hAnsi="Georgia" w:cs="Times New Roman"/>
          <w:color w:val="333333"/>
          <w:sz w:val="27"/>
          <w:szCs w:val="27"/>
          <w:lang w:eastAsia="es-AR"/>
        </w:rPr>
        <w:t xml:space="preserve"> una historia clínica típica y síntomas </w:t>
      </w:r>
      <w:r w:rsidRPr="009404AE">
        <w:rPr>
          <w:rFonts w:ascii="Georgia" w:eastAsia="Times New Roman" w:hAnsi="Georgia" w:cs="Times New Roman"/>
          <w:color w:val="333333"/>
          <w:sz w:val="27"/>
          <w:szCs w:val="27"/>
          <w:lang w:eastAsia="es-AR"/>
        </w:rPr>
        <w:lastRenderedPageBreak/>
        <w:t>urinarios localizados en comparación con pacientes más jóvenes. La creciente incidencia de </w:t>
      </w:r>
      <w:r w:rsidRPr="009404AE">
        <w:rPr>
          <w:rFonts w:ascii="Georgia" w:eastAsia="Times New Roman" w:hAnsi="Georgia" w:cs="Times New Roman"/>
          <w:b/>
          <w:bCs/>
          <w:color w:val="333333"/>
          <w:sz w:val="27"/>
          <w:szCs w:val="27"/>
          <w:lang w:eastAsia="es-AR"/>
        </w:rPr>
        <w:t>bacteriuria asintomática</w:t>
      </w:r>
      <w:r w:rsidRPr="009404AE">
        <w:rPr>
          <w:rFonts w:ascii="Georgia" w:eastAsia="Times New Roman" w:hAnsi="Georgia" w:cs="Times New Roman"/>
          <w:color w:val="333333"/>
          <w:sz w:val="27"/>
          <w:szCs w:val="27"/>
          <w:lang w:eastAsia="es-AR"/>
        </w:rPr>
        <w:t> en adultos mayores también contribuye a una mayor dificultad diagnóstica (&gt; 20% de las mujeres de ≥65 años en comparación con &lt;5% en mujeres más jóvenes), lo que resulta en un posible diagnóstico excesivo de ITU y tratamiento innecesario.</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La ITU es el segundo diagnóstico más común para el cual se prescriben antibióticos empíricos tanto en atención primaria como secundaria, y se considera </w:t>
      </w:r>
      <w:r w:rsidRPr="009404AE">
        <w:rPr>
          <w:rFonts w:ascii="Georgia" w:eastAsia="Times New Roman" w:hAnsi="Georgia" w:cs="Times New Roman"/>
          <w:b/>
          <w:bCs/>
          <w:color w:val="333333"/>
          <w:sz w:val="27"/>
          <w:szCs w:val="27"/>
          <w:lang w:eastAsia="es-AR"/>
        </w:rPr>
        <w:t>innecesario</w:t>
      </w:r>
      <w:r w:rsidRPr="009404AE">
        <w:rPr>
          <w:rFonts w:ascii="Georgia" w:eastAsia="Times New Roman" w:hAnsi="Georgia" w:cs="Times New Roman"/>
          <w:color w:val="333333"/>
          <w:sz w:val="27"/>
          <w:szCs w:val="27"/>
          <w:lang w:eastAsia="es-AR"/>
        </w:rPr>
        <w:t> el uso de más del 50% de los antibióticos prescritos para una sospecha de ITU en adultos mayores.</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Con la propagación de la resistencia a los antibióticos y su aumento se ha propuesto una amenaza para la salud pública (aproximadamente el 30% de los aislamientos urinarios de E. coli son resistentes a la trimetoprima), directrices nacionales y programas de administración antimicrobiana para combatir estos desafíos.</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El NHS England, por ejemplo, lanzó la Prima de Calidad para incentivar la Comisión Clínica Grupos para reducir el uso de antibióticos en la atención primaria. Como resultado de estas nuevas iniciativas, se ha informado una disminución sustancial en el uso de antibióticos por primera vez en Inglaterra en todo el sistema de salud entre 2013 y 2017.</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Un estudio reciente también ha mostrado una disminución en la prescripción de antibióticos de amplio espectro para la IU en personas mayores en atención primaria entre 2004 y 2014.20 Mientras tanto, sin embargo, se han informado </w:t>
      </w:r>
      <w:r w:rsidRPr="009404AE">
        <w:rPr>
          <w:rFonts w:ascii="Georgia" w:eastAsia="Times New Roman" w:hAnsi="Georgia" w:cs="Times New Roman"/>
          <w:b/>
          <w:bCs/>
          <w:color w:val="333333"/>
          <w:sz w:val="27"/>
          <w:szCs w:val="27"/>
          <w:lang w:eastAsia="es-AR"/>
        </w:rPr>
        <w:t>aumentos en la incidencia de infecciones gramnegativas</w:t>
      </w:r>
      <w:r w:rsidRPr="009404AE">
        <w:rPr>
          <w:rFonts w:ascii="Georgia" w:eastAsia="Times New Roman" w:hAnsi="Georgia" w:cs="Times New Roman"/>
          <w:color w:val="333333"/>
          <w:sz w:val="27"/>
          <w:szCs w:val="27"/>
          <w:lang w:eastAsia="es-AR"/>
        </w:rPr>
        <w:t> en el torrente sanguíneo, lo que ha llevado al gobierno del Reino Unido a anunciar un plan para reducir las infecciones hemáticas asociadas a la asistencia sanitaria en Inglaterra en un 50% hasta marzo de 2021.</w:t>
      </w:r>
    </w:p>
    <w:p w:rsidR="009404AE" w:rsidRPr="009404AE" w:rsidRDefault="009404AE" w:rsidP="009404AE">
      <w:pPr>
        <w:shd w:val="clear" w:color="auto" w:fill="FFFFFF"/>
        <w:spacing w:after="0"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lastRenderedPageBreak/>
        <w:pict>
          <v:rect id="_x0000_i1025" style="width:0;height:1.5pt" o:hralign="center" o:hrstd="t" o:hr="t" fillcolor="#a0a0a0" stroked="f"/>
        </w:pic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b/>
          <w:bCs/>
          <w:color w:val="333333"/>
          <w:sz w:val="27"/>
          <w:szCs w:val="27"/>
          <w:lang w:eastAsia="es-AR"/>
        </w:rPr>
        <w:t>Resumen</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De acuerdo con un estudio retrospectivo en The BMJ, retrasar los antibióticos para ancianos con infecciones del tracto urinario puede ponerlos en mayor riesgo de sepsis y muerte.</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Los investigadores de los EE. UU. Examinaron los registros médicos de 157,000 adultos mayores de 65 años que fueron diagnosticados en atención primaria con al menos una ITU.</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Se incluyeron alrededor de 313,000 IU no complicadas, sospechosas o confirmadas: los antibióticos se recetaron inmediatamente para el 87%, se retrasaron pero se prescribieron dentro de una semana para el 6% y no se prescribieron en absoluto para el 7%.</w:t>
      </w:r>
    </w:p>
    <w:p w:rsidR="009404AE" w:rsidRPr="009404AE" w:rsidRDefault="009404AE" w:rsidP="009404AE">
      <w:pPr>
        <w:shd w:val="clear" w:color="auto" w:fill="FFFFFF"/>
        <w:spacing w:beforeAutospacing="1" w:after="100" w:afterAutospacing="1" w:line="450" w:lineRule="atLeast"/>
        <w:rPr>
          <w:rFonts w:ascii="Georgia" w:eastAsia="Times New Roman" w:hAnsi="Georgia" w:cs="Times New Roman"/>
          <w:i/>
          <w:iCs/>
          <w:color w:val="333333"/>
          <w:sz w:val="30"/>
          <w:szCs w:val="30"/>
          <w:lang w:eastAsia="es-AR"/>
        </w:rPr>
      </w:pPr>
      <w:r w:rsidRPr="009404AE">
        <w:rPr>
          <w:rFonts w:ascii="Georgia" w:eastAsia="Times New Roman" w:hAnsi="Georgia" w:cs="Times New Roman"/>
          <w:i/>
          <w:iCs/>
          <w:color w:val="333333"/>
          <w:sz w:val="30"/>
          <w:szCs w:val="30"/>
          <w:lang w:eastAsia="es-AR"/>
        </w:rPr>
        <w:t>Las tasas de infección y mortalidad en el torrente sanguíneo en 60 días fueron significativamente más altas cuando los antibióticos se retrasaron o no se recetaron que cuando se prescribieron de inmediato.</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En particular, los investigadores calculan que se produciría un exceso de infección en el torrente sanguíneo por cada 37 pacientes no tratados y por cada 51 que recibieron un tratamiento diferido, y se produciría un exceso de muerte por cada 27 pacientes no tratados y cada 83 que recibieron un tratamiento retrasado.</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Un editorialista reconoce que la relación entre los antibióticos retrasados ??y los peores resultados puede no ser causal, pero, sin embargo, él y los autores abogan por un tratamiento rápido de esta población de pacientes.</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 xml:space="preserve">El especialista en enfermedades infecciosas, Dr. Paul Sax, comenta: "Este estudio describe la" otra cara de la moneda "para los médicos que desean </w:t>
      </w:r>
      <w:r w:rsidRPr="009404AE">
        <w:rPr>
          <w:rFonts w:ascii="Georgia" w:eastAsia="Times New Roman" w:hAnsi="Georgia" w:cs="Times New Roman"/>
          <w:color w:val="333333"/>
          <w:sz w:val="27"/>
          <w:szCs w:val="27"/>
          <w:lang w:eastAsia="es-AR"/>
        </w:rPr>
        <w:lastRenderedPageBreak/>
        <w:t>evitar el tratamiento excesivo de la bacteriuria asintomática en los ancianos, que es que el tratamiento insuficiente de la infección sintomática puede tener graves consecuencias.</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La dificultad práctica de evaluar los síntomas de IU (especialmente en aquellos con deterioro cognitivo) siguen siendo un desafío importante".</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El riesgo de infección del torrente sanguíneo y la mortalidad por todas las causas también aumentaron para los pacientes masculinos y mayores, especialmente los mayores de 85 años y los que viven en áreas más desfavorecidas.</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Entre los pacientes a los que se les prescribió antibióticos inmediatos para un episodio de IU, se observó un pequeño pero significativo aumento de la supervivencia a los 60 días en los pacientes tratados con </w:t>
      </w:r>
      <w:r w:rsidRPr="009404AE">
        <w:rPr>
          <w:rFonts w:ascii="Georgia" w:eastAsia="Times New Roman" w:hAnsi="Georgia" w:cs="Times New Roman"/>
          <w:b/>
          <w:bCs/>
          <w:color w:val="333333"/>
          <w:sz w:val="27"/>
          <w:szCs w:val="27"/>
          <w:lang w:eastAsia="es-AR"/>
        </w:rPr>
        <w:t>nitrofurantoína</w:t>
      </w:r>
      <w:r w:rsidRPr="009404AE">
        <w:rPr>
          <w:rFonts w:ascii="Georgia" w:eastAsia="Times New Roman" w:hAnsi="Georgia" w:cs="Times New Roman"/>
          <w:color w:val="333333"/>
          <w:sz w:val="27"/>
          <w:szCs w:val="27"/>
          <w:lang w:eastAsia="es-AR"/>
        </w:rPr>
        <w:t> en comparación con trimetoprima. Este aumento podría reflejar niveles más altos de resistencia a trimetoprima o una población más sana tratada con nitrofurantoína; el último no se recomienda para pacientes con función renal deficiente.</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Estos resultados son consistentes con un estudio de cohorte reciente que utiliza datos del Datalink de Investigación de Práctica Clínica (CPRD, por sus siglas en inglés), donde la </w:t>
      </w:r>
      <w:r w:rsidRPr="009404AE">
        <w:rPr>
          <w:rFonts w:ascii="Georgia" w:eastAsia="Times New Roman" w:hAnsi="Georgia" w:cs="Times New Roman"/>
          <w:b/>
          <w:bCs/>
          <w:color w:val="333333"/>
          <w:sz w:val="27"/>
          <w:szCs w:val="27"/>
          <w:lang w:eastAsia="es-AR"/>
        </w:rPr>
        <w:t>nitrofurantoína</w:t>
      </w:r>
      <w:r w:rsidRPr="009404AE">
        <w:rPr>
          <w:rFonts w:ascii="Georgia" w:eastAsia="Times New Roman" w:hAnsi="Georgia" w:cs="Times New Roman"/>
          <w:color w:val="333333"/>
          <w:sz w:val="27"/>
          <w:szCs w:val="27"/>
          <w:lang w:eastAsia="es-AR"/>
        </w:rPr>
        <w:t> se asoció con las menores probabilidades de muerte dentro de los 14 días de iniciación con antibióticos para ITU de todos los antibióticos investigados.</w:t>
      </w:r>
    </w:p>
    <w:p w:rsidR="009404AE" w:rsidRPr="009404AE" w:rsidRDefault="009404AE" w:rsidP="009404AE">
      <w:pPr>
        <w:shd w:val="clear" w:color="auto" w:fill="FFFFFF"/>
        <w:spacing w:before="100" w:beforeAutospacing="1" w:after="100" w:afterAutospacing="1" w:line="405" w:lineRule="atLeast"/>
        <w:jc w:val="center"/>
        <w:rPr>
          <w:rFonts w:ascii="Georgia" w:eastAsia="Times New Roman" w:hAnsi="Georgia" w:cs="Times New Roman"/>
          <w:color w:val="333333"/>
          <w:sz w:val="27"/>
          <w:szCs w:val="27"/>
          <w:lang w:eastAsia="es-AR"/>
        </w:rPr>
      </w:pPr>
      <w:r w:rsidRPr="009404AE">
        <w:rPr>
          <w:rFonts w:ascii="Georgia" w:eastAsia="Times New Roman" w:hAnsi="Georgia" w:cs="Times New Roman"/>
          <w:noProof/>
          <w:color w:val="333333"/>
          <w:sz w:val="27"/>
          <w:szCs w:val="27"/>
          <w:lang w:eastAsia="es-AR"/>
        </w:rPr>
        <w:lastRenderedPageBreak/>
        <w:drawing>
          <wp:inline distT="0" distB="0" distL="0" distR="0">
            <wp:extent cx="4617720" cy="8511540"/>
            <wp:effectExtent l="0" t="0" r="0" b="3810"/>
            <wp:docPr id="1" name="Imagen 1" descr="https://www.bmj.com/content/bmj/364/bmj.l525/F3.large.jpg?width=800&amp;height=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mj.com/content/bmj/364/bmj.l525/F3.large.jpg?width=800&amp;height=6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7720" cy="8511540"/>
                    </a:xfrm>
                    <a:prstGeom prst="rect">
                      <a:avLst/>
                    </a:prstGeom>
                    <a:noFill/>
                    <a:ln>
                      <a:noFill/>
                    </a:ln>
                  </pic:spPr>
                </pic:pic>
              </a:graphicData>
            </a:graphic>
          </wp:inline>
        </w:drawing>
      </w:r>
      <w:r w:rsidRPr="009404AE">
        <w:rPr>
          <w:rFonts w:ascii="Georgia" w:eastAsia="Times New Roman" w:hAnsi="Georgia" w:cs="Times New Roman"/>
          <w:color w:val="333333"/>
          <w:sz w:val="27"/>
          <w:szCs w:val="27"/>
          <w:lang w:eastAsia="es-AR"/>
        </w:rPr>
        <w:br/>
      </w:r>
      <w:r w:rsidRPr="009404AE">
        <w:rPr>
          <w:rFonts w:ascii="Georgia" w:eastAsia="Times New Roman" w:hAnsi="Georgia" w:cs="Times New Roman"/>
          <w:color w:val="333333"/>
          <w:sz w:val="27"/>
          <w:szCs w:val="27"/>
          <w:lang w:eastAsia="es-AR"/>
        </w:rPr>
        <w:lastRenderedPageBreak/>
        <w:t>Curvas de supervivencia de Kaplan-Meier por tratamiento con antibióticos durante 60 días</w:t>
      </w:r>
    </w:p>
    <w:p w:rsidR="009404AE" w:rsidRPr="009404AE" w:rsidRDefault="009404AE" w:rsidP="009404AE">
      <w:pPr>
        <w:shd w:val="clear" w:color="auto" w:fill="FFFFFF"/>
        <w:spacing w:after="0"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pict>
          <v:rect id="_x0000_i1026" style="width:0;height:1.5pt" o:hralign="center" o:hrstd="t" o:hr="t" fillcolor="#a0a0a0" stroked="f"/>
        </w:pic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b/>
          <w:bCs/>
          <w:color w:val="333333"/>
          <w:sz w:val="27"/>
          <w:szCs w:val="27"/>
          <w:lang w:eastAsia="es-AR"/>
        </w:rPr>
        <w:t>Implicaciones clínicas, políticas y de investigación</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Nuestros hallazgos sugieren que los médicos de cabecera consideran la </w:t>
      </w:r>
      <w:r w:rsidRPr="009404AE">
        <w:rPr>
          <w:rFonts w:ascii="Georgia" w:eastAsia="Times New Roman" w:hAnsi="Georgia" w:cs="Times New Roman"/>
          <w:b/>
          <w:bCs/>
          <w:color w:val="333333"/>
          <w:sz w:val="27"/>
          <w:szCs w:val="27"/>
          <w:lang w:eastAsia="es-AR"/>
        </w:rPr>
        <w:t>prescripción temprana de antibióticos </w:t>
      </w:r>
      <w:r w:rsidRPr="009404AE">
        <w:rPr>
          <w:rFonts w:ascii="Georgia" w:eastAsia="Times New Roman" w:hAnsi="Georgia" w:cs="Times New Roman"/>
          <w:color w:val="333333"/>
          <w:sz w:val="27"/>
          <w:szCs w:val="27"/>
          <w:lang w:eastAsia="es-AR"/>
        </w:rPr>
        <w:t>para este grupo vulnerable de adultos mayores en vista de su mayor susceptibilidad a la sepsis después de una ITU y a pesar de la creciente presión para reducir el uso inadecuado de antibióticos.</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Se necesita un cuidado especial para el manejo de los hombres mayores y los de las comunidades desfavorecidas. Para los investigadores, existe la necesidad de mejorar la comprensión de los efectos de la prescripción de antibióticos diferidos en la práctica de rutina. Por lo tanto, deben establecerse nuevos registros médicos o códigos recuperables para registrar cuando los médicos de atención primaria aconsejan a los pacientes que retrasen el consumo de antibióticos.</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b/>
          <w:bCs/>
          <w:color w:val="333333"/>
          <w:sz w:val="27"/>
          <w:szCs w:val="27"/>
          <w:lang w:eastAsia="es-AR"/>
        </w:rPr>
        <w:t>Conclusión</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Los resultados de este gran estudio de cohorte poblacional sugieren un </w:t>
      </w:r>
      <w:r w:rsidRPr="009404AE">
        <w:rPr>
          <w:rFonts w:ascii="Georgia" w:eastAsia="Times New Roman" w:hAnsi="Georgia" w:cs="Times New Roman"/>
          <w:b/>
          <w:bCs/>
          <w:color w:val="333333"/>
          <w:sz w:val="27"/>
          <w:szCs w:val="27"/>
          <w:lang w:eastAsia="es-AR"/>
        </w:rPr>
        <w:t>aumento significativo en el riesgo de infección del torrente sanguíneo y la mortalidad</w:t>
      </w:r>
      <w:r w:rsidRPr="009404AE">
        <w:rPr>
          <w:rFonts w:ascii="Georgia" w:eastAsia="Times New Roman" w:hAnsi="Georgia" w:cs="Times New Roman"/>
          <w:color w:val="333333"/>
          <w:sz w:val="27"/>
          <w:szCs w:val="27"/>
          <w:lang w:eastAsia="es-AR"/>
        </w:rPr>
        <w:t> por todas las causas y la tasa de ingreso hospitalario asociado con no antibióticos y antibióticos diferidos en comparación con los antibióticos inmediatos en adultos mayores con un diagnóstico de ITU en la atención primaria.</w:t>
      </w:r>
    </w:p>
    <w:p w:rsidR="009404AE" w:rsidRPr="009404AE" w:rsidRDefault="009404AE" w:rsidP="009404AE">
      <w:pPr>
        <w:shd w:val="clear" w:color="auto" w:fill="FFFFFF"/>
        <w:spacing w:before="100" w:beforeAutospacing="1" w:after="100" w:afterAutospacing="1" w:line="405" w:lineRule="atLeast"/>
        <w:rPr>
          <w:rFonts w:ascii="Georgia" w:eastAsia="Times New Roman" w:hAnsi="Georgia" w:cs="Times New Roman"/>
          <w:color w:val="333333"/>
          <w:sz w:val="27"/>
          <w:szCs w:val="27"/>
          <w:lang w:eastAsia="es-AR"/>
        </w:rPr>
      </w:pPr>
      <w:r w:rsidRPr="009404AE">
        <w:rPr>
          <w:rFonts w:ascii="Georgia" w:eastAsia="Times New Roman" w:hAnsi="Georgia" w:cs="Times New Roman"/>
          <w:color w:val="333333"/>
          <w:sz w:val="27"/>
          <w:szCs w:val="27"/>
          <w:lang w:eastAsia="es-AR"/>
        </w:rPr>
        <w:t>Nuestro estudio sugiere que </w:t>
      </w:r>
      <w:r w:rsidRPr="009404AE">
        <w:rPr>
          <w:rFonts w:ascii="Georgia" w:eastAsia="Times New Roman" w:hAnsi="Georgia" w:cs="Times New Roman"/>
          <w:b/>
          <w:bCs/>
          <w:color w:val="333333"/>
          <w:sz w:val="27"/>
          <w:szCs w:val="27"/>
          <w:lang w:eastAsia="es-AR"/>
        </w:rPr>
        <w:t>se debe recomendar el inicio temprano de antibióticos</w:t>
      </w:r>
      <w:r w:rsidRPr="009404AE">
        <w:rPr>
          <w:rFonts w:ascii="Georgia" w:eastAsia="Times New Roman" w:hAnsi="Georgia" w:cs="Times New Roman"/>
          <w:color w:val="333333"/>
          <w:sz w:val="27"/>
          <w:szCs w:val="27"/>
          <w:lang w:eastAsia="es-AR"/>
        </w:rPr>
        <w:t> para la IU en poblaciones de adultos mayores de alto riesgo (especialmente en hombres&gt; 85 años) para prevenir complicaciones graves.</w:t>
      </w:r>
    </w:p>
    <w:tbl>
      <w:tblPr>
        <w:tblW w:w="9744" w:type="dxa"/>
        <w:tblCellSpacing w:w="6" w:type="dxa"/>
        <w:tblCellMar>
          <w:top w:w="12" w:type="dxa"/>
          <w:left w:w="12" w:type="dxa"/>
          <w:bottom w:w="12" w:type="dxa"/>
          <w:right w:w="12" w:type="dxa"/>
        </w:tblCellMar>
        <w:tblLook w:val="04A0" w:firstRow="1" w:lastRow="0" w:firstColumn="1" w:lastColumn="0" w:noHBand="0" w:noVBand="1"/>
      </w:tblPr>
      <w:tblGrid>
        <w:gridCol w:w="9744"/>
      </w:tblGrid>
      <w:tr w:rsidR="009404AE" w:rsidRPr="009404AE" w:rsidTr="009404AE">
        <w:trPr>
          <w:tblCellSpacing w:w="6" w:type="dxa"/>
        </w:trPr>
        <w:tc>
          <w:tcPr>
            <w:tcW w:w="0" w:type="auto"/>
            <w:shd w:val="clear" w:color="auto" w:fill="DEEAF2"/>
            <w:vAlign w:val="center"/>
            <w:hideMark/>
          </w:tcPr>
          <w:p w:rsidR="009404AE" w:rsidRPr="009404AE" w:rsidRDefault="009404AE" w:rsidP="009404AE">
            <w:pPr>
              <w:spacing w:before="100" w:beforeAutospacing="1" w:after="100" w:afterAutospacing="1" w:line="240" w:lineRule="auto"/>
              <w:rPr>
                <w:rFonts w:ascii="Times New Roman" w:eastAsia="Times New Roman" w:hAnsi="Times New Roman" w:cs="Times New Roman"/>
                <w:sz w:val="24"/>
                <w:szCs w:val="24"/>
                <w:lang w:eastAsia="es-AR"/>
              </w:rPr>
            </w:pPr>
            <w:r w:rsidRPr="009404AE">
              <w:rPr>
                <w:rFonts w:ascii="Times New Roman" w:eastAsia="Times New Roman" w:hAnsi="Times New Roman" w:cs="Times New Roman"/>
                <w:b/>
                <w:bCs/>
                <w:sz w:val="24"/>
                <w:szCs w:val="24"/>
                <w:lang w:eastAsia="es-AR"/>
              </w:rPr>
              <w:lastRenderedPageBreak/>
              <w:t>Qué es lo que ya se sabe sobre este tema</w:t>
            </w:r>
          </w:p>
          <w:p w:rsidR="009404AE" w:rsidRPr="009404AE" w:rsidRDefault="009404AE" w:rsidP="009404AE">
            <w:pPr>
              <w:numPr>
                <w:ilvl w:val="0"/>
                <w:numId w:val="1"/>
              </w:numPr>
              <w:spacing w:before="100" w:beforeAutospacing="1" w:after="100" w:afterAutospacing="1" w:line="240" w:lineRule="auto"/>
              <w:rPr>
                <w:rFonts w:ascii="Times New Roman" w:eastAsia="Times New Roman" w:hAnsi="Times New Roman" w:cs="Times New Roman"/>
                <w:sz w:val="24"/>
                <w:szCs w:val="24"/>
                <w:lang w:eastAsia="es-AR"/>
              </w:rPr>
            </w:pPr>
            <w:r w:rsidRPr="009404AE">
              <w:rPr>
                <w:rFonts w:ascii="Times New Roman" w:eastAsia="Times New Roman" w:hAnsi="Times New Roman" w:cs="Times New Roman"/>
                <w:sz w:val="24"/>
                <w:szCs w:val="24"/>
                <w:lang w:eastAsia="es-AR"/>
              </w:rPr>
              <w:t>Alrededor de la mitad de las infecciones del torrente sanguíneo de Escherichia coli son causadas por una infección subyacente del tracto urinario (ITU), con un mayor riesgo en personas de edad avanzada.</w:t>
            </w:r>
            <w:r w:rsidRPr="009404AE">
              <w:rPr>
                <w:rFonts w:ascii="Times New Roman" w:eastAsia="Times New Roman" w:hAnsi="Times New Roman" w:cs="Times New Roman"/>
                <w:sz w:val="24"/>
                <w:szCs w:val="24"/>
                <w:lang w:eastAsia="es-AR"/>
              </w:rPr>
              <w:br/>
              <w:t> </w:t>
            </w:r>
          </w:p>
          <w:p w:rsidR="009404AE" w:rsidRPr="009404AE" w:rsidRDefault="009404AE" w:rsidP="009404AE">
            <w:pPr>
              <w:numPr>
                <w:ilvl w:val="0"/>
                <w:numId w:val="1"/>
              </w:numPr>
              <w:spacing w:before="100" w:beforeAutospacing="1" w:after="100" w:afterAutospacing="1" w:line="240" w:lineRule="auto"/>
              <w:rPr>
                <w:rFonts w:ascii="Times New Roman" w:eastAsia="Times New Roman" w:hAnsi="Times New Roman" w:cs="Times New Roman"/>
                <w:sz w:val="24"/>
                <w:szCs w:val="24"/>
                <w:lang w:eastAsia="es-AR"/>
              </w:rPr>
            </w:pPr>
            <w:r w:rsidRPr="009404AE">
              <w:rPr>
                <w:rFonts w:ascii="Times New Roman" w:eastAsia="Times New Roman" w:hAnsi="Times New Roman" w:cs="Times New Roman"/>
                <w:sz w:val="24"/>
                <w:szCs w:val="24"/>
                <w:lang w:eastAsia="es-AR"/>
              </w:rPr>
              <w:t>Si bien el tratamiento "sin antibióticos" o "antibióticos retrasados ??o diferidos" a menudo no se asocia con resultados adversos graves para algunas enfermedades autolimitadas (p. Ej., Infecciones del tracto respiratorio superior), se ha informado un ligero aumento en la duración de los síntomas y la tasa de complicaciones para la IU en mujer joven.</w:t>
            </w:r>
            <w:r w:rsidRPr="009404AE">
              <w:rPr>
                <w:rFonts w:ascii="Times New Roman" w:eastAsia="Times New Roman" w:hAnsi="Times New Roman" w:cs="Times New Roman"/>
                <w:sz w:val="24"/>
                <w:szCs w:val="24"/>
                <w:lang w:eastAsia="es-AR"/>
              </w:rPr>
              <w:br/>
              <w:t> </w:t>
            </w:r>
          </w:p>
          <w:p w:rsidR="009404AE" w:rsidRPr="009404AE" w:rsidRDefault="009404AE" w:rsidP="009404AE">
            <w:pPr>
              <w:numPr>
                <w:ilvl w:val="0"/>
                <w:numId w:val="1"/>
              </w:numPr>
              <w:spacing w:before="100" w:beforeAutospacing="1" w:after="100" w:afterAutospacing="1" w:line="240" w:lineRule="auto"/>
              <w:rPr>
                <w:rFonts w:ascii="Times New Roman" w:eastAsia="Times New Roman" w:hAnsi="Times New Roman" w:cs="Times New Roman"/>
                <w:sz w:val="24"/>
                <w:szCs w:val="24"/>
                <w:lang w:eastAsia="es-AR"/>
              </w:rPr>
            </w:pPr>
            <w:r w:rsidRPr="009404AE">
              <w:rPr>
                <w:rFonts w:ascii="Times New Roman" w:eastAsia="Times New Roman" w:hAnsi="Times New Roman" w:cs="Times New Roman"/>
                <w:sz w:val="24"/>
                <w:szCs w:val="24"/>
                <w:lang w:eastAsia="es-AR"/>
              </w:rPr>
              <w:t>Sin embargo, la generalización de estos estudios es limitada debido al tamaño de la muestra y la demografía de la población de estudio.</w:t>
            </w:r>
          </w:p>
          <w:p w:rsidR="009404AE" w:rsidRPr="009404AE" w:rsidRDefault="009404AE" w:rsidP="009404AE">
            <w:pPr>
              <w:spacing w:before="100" w:beforeAutospacing="1" w:after="100" w:afterAutospacing="1" w:line="240" w:lineRule="auto"/>
              <w:rPr>
                <w:rFonts w:ascii="Times New Roman" w:eastAsia="Times New Roman" w:hAnsi="Times New Roman" w:cs="Times New Roman"/>
                <w:sz w:val="24"/>
                <w:szCs w:val="24"/>
                <w:lang w:eastAsia="es-AR"/>
              </w:rPr>
            </w:pPr>
            <w:r w:rsidRPr="009404AE">
              <w:rPr>
                <w:rFonts w:ascii="Times New Roman" w:eastAsia="Times New Roman" w:hAnsi="Times New Roman" w:cs="Times New Roman"/>
                <w:b/>
                <w:bCs/>
                <w:sz w:val="24"/>
                <w:szCs w:val="24"/>
                <w:lang w:eastAsia="es-AR"/>
              </w:rPr>
              <w:t>Lo que agrega este estudio</w:t>
            </w:r>
          </w:p>
          <w:p w:rsidR="009404AE" w:rsidRPr="009404AE" w:rsidRDefault="009404AE" w:rsidP="009404AE">
            <w:pPr>
              <w:numPr>
                <w:ilvl w:val="0"/>
                <w:numId w:val="2"/>
              </w:numPr>
              <w:spacing w:before="100" w:beforeAutospacing="1" w:after="100" w:afterAutospacing="1" w:line="240" w:lineRule="auto"/>
              <w:rPr>
                <w:rFonts w:ascii="Times New Roman" w:eastAsia="Times New Roman" w:hAnsi="Times New Roman" w:cs="Times New Roman"/>
                <w:sz w:val="24"/>
                <w:szCs w:val="24"/>
                <w:lang w:eastAsia="es-AR"/>
              </w:rPr>
            </w:pPr>
            <w:r w:rsidRPr="009404AE">
              <w:rPr>
                <w:rFonts w:ascii="Times New Roman" w:eastAsia="Times New Roman" w:hAnsi="Times New Roman" w:cs="Times New Roman"/>
                <w:sz w:val="24"/>
                <w:szCs w:val="24"/>
                <w:lang w:eastAsia="es-AR"/>
              </w:rPr>
              <w:t>Después de ajustar las covariables clave, no administrar antibióticos y los enfoques con antibióticos diferidos para el tratamiento de la IU en adultos mayores en atención primaria se asocian con un </w:t>
            </w:r>
            <w:r w:rsidRPr="009404AE">
              <w:rPr>
                <w:rFonts w:ascii="Times New Roman" w:eastAsia="Times New Roman" w:hAnsi="Times New Roman" w:cs="Times New Roman"/>
                <w:b/>
                <w:bCs/>
                <w:sz w:val="24"/>
                <w:szCs w:val="24"/>
                <w:lang w:eastAsia="es-AR"/>
              </w:rPr>
              <w:t>aumento significativo del riesgo de infección del torrente sanguíneo y todas las causas de mortalidad</w:t>
            </w:r>
            <w:r w:rsidRPr="009404AE">
              <w:rPr>
                <w:rFonts w:ascii="Times New Roman" w:eastAsia="Times New Roman" w:hAnsi="Times New Roman" w:cs="Times New Roman"/>
                <w:sz w:val="24"/>
                <w:szCs w:val="24"/>
                <w:lang w:eastAsia="es-AR"/>
              </w:rPr>
              <w:t> en comparación con un enfoque de antibióticos inmediatos</w:t>
            </w:r>
          </w:p>
        </w:tc>
      </w:tr>
    </w:tbl>
    <w:p w:rsidR="001A6957" w:rsidRDefault="001A6957">
      <w:bookmarkStart w:id="0" w:name="_GoBack"/>
      <w:bookmarkEnd w:id="0"/>
    </w:p>
    <w:sectPr w:rsidR="001A6957">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3E4" w:rsidRDefault="00AD13E4" w:rsidP="009404AE">
      <w:pPr>
        <w:spacing w:after="0" w:line="240" w:lineRule="auto"/>
      </w:pPr>
      <w:r>
        <w:separator/>
      </w:r>
    </w:p>
  </w:endnote>
  <w:endnote w:type="continuationSeparator" w:id="0">
    <w:p w:rsidR="00AD13E4" w:rsidRDefault="00AD13E4" w:rsidP="00940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0224321"/>
      <w:docPartObj>
        <w:docPartGallery w:val="Page Numbers (Bottom of Page)"/>
        <w:docPartUnique/>
      </w:docPartObj>
    </w:sdtPr>
    <w:sdtContent>
      <w:p w:rsidR="009404AE" w:rsidRDefault="009404AE">
        <w:pPr>
          <w:pStyle w:val="Piedepgina"/>
          <w:jc w:val="center"/>
        </w:pPr>
        <w:r>
          <w:fldChar w:fldCharType="begin"/>
        </w:r>
        <w:r>
          <w:instrText>PAGE   \* MERGEFORMAT</w:instrText>
        </w:r>
        <w:r>
          <w:fldChar w:fldCharType="separate"/>
        </w:r>
        <w:r w:rsidRPr="009404AE">
          <w:rPr>
            <w:noProof/>
            <w:lang w:val="es-ES"/>
          </w:rPr>
          <w:t>6</w:t>
        </w:r>
        <w:r>
          <w:fldChar w:fldCharType="end"/>
        </w:r>
      </w:p>
    </w:sdtContent>
  </w:sdt>
  <w:p w:rsidR="009404AE" w:rsidRDefault="009404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3E4" w:rsidRDefault="00AD13E4" w:rsidP="009404AE">
      <w:pPr>
        <w:spacing w:after="0" w:line="240" w:lineRule="auto"/>
      </w:pPr>
      <w:r>
        <w:separator/>
      </w:r>
    </w:p>
  </w:footnote>
  <w:footnote w:type="continuationSeparator" w:id="0">
    <w:p w:rsidR="00AD13E4" w:rsidRDefault="00AD13E4" w:rsidP="009404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7C400F"/>
    <w:multiLevelType w:val="multilevel"/>
    <w:tmpl w:val="662A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EF2FB0"/>
    <w:multiLevelType w:val="multilevel"/>
    <w:tmpl w:val="5618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4AE"/>
    <w:rsid w:val="001A6957"/>
    <w:rsid w:val="009404AE"/>
    <w:rsid w:val="00AD13E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B39D39-49CE-4EE3-B401-7519F18B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04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404AE"/>
  </w:style>
  <w:style w:type="paragraph" w:styleId="Piedepgina">
    <w:name w:val="footer"/>
    <w:basedOn w:val="Normal"/>
    <w:link w:val="PiedepginaCar"/>
    <w:uiPriority w:val="99"/>
    <w:unhideWhenUsed/>
    <w:rsid w:val="009404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404AE"/>
  </w:style>
  <w:style w:type="character" w:customStyle="1" w:styleId="textofechavolanta">
    <w:name w:val="texto_fecha_volanta"/>
    <w:basedOn w:val="Fuentedeprrafopredeter"/>
    <w:rsid w:val="009404AE"/>
  </w:style>
  <w:style w:type="character" w:styleId="Hipervnculo">
    <w:name w:val="Hyperlink"/>
    <w:basedOn w:val="Fuentedeprrafopredeter"/>
    <w:uiPriority w:val="99"/>
    <w:semiHidden/>
    <w:unhideWhenUsed/>
    <w:rsid w:val="009404AE"/>
    <w:rPr>
      <w:color w:val="0000FF"/>
      <w:u w:val="single"/>
    </w:rPr>
  </w:style>
  <w:style w:type="paragraph" w:styleId="NormalWeb">
    <w:name w:val="Normal (Web)"/>
    <w:basedOn w:val="Normal"/>
    <w:uiPriority w:val="99"/>
    <w:semiHidden/>
    <w:unhideWhenUsed/>
    <w:rsid w:val="009404AE"/>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9404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748941">
      <w:bodyDiv w:val="1"/>
      <w:marLeft w:val="0"/>
      <w:marRight w:val="0"/>
      <w:marTop w:val="0"/>
      <w:marBottom w:val="0"/>
      <w:divBdr>
        <w:top w:val="none" w:sz="0" w:space="0" w:color="auto"/>
        <w:left w:val="none" w:sz="0" w:space="0" w:color="auto"/>
        <w:bottom w:val="none" w:sz="0" w:space="0" w:color="auto"/>
        <w:right w:val="none" w:sz="0" w:space="0" w:color="auto"/>
      </w:divBdr>
      <w:divsChild>
        <w:div w:id="1850095027">
          <w:marLeft w:val="0"/>
          <w:marRight w:val="0"/>
          <w:marTop w:val="90"/>
          <w:marBottom w:val="120"/>
          <w:divBdr>
            <w:top w:val="none" w:sz="0" w:space="0" w:color="auto"/>
            <w:left w:val="none" w:sz="0" w:space="0" w:color="auto"/>
            <w:bottom w:val="none" w:sz="0" w:space="0" w:color="auto"/>
            <w:right w:val="none" w:sz="0" w:space="0" w:color="auto"/>
          </w:divBdr>
        </w:div>
        <w:div w:id="1479419615">
          <w:marLeft w:val="0"/>
          <w:marRight w:val="0"/>
          <w:marTop w:val="150"/>
          <w:marBottom w:val="150"/>
          <w:divBdr>
            <w:top w:val="dotted" w:sz="6" w:space="6" w:color="CCCCCC"/>
            <w:left w:val="none" w:sz="0" w:space="0" w:color="auto"/>
            <w:bottom w:val="dotted" w:sz="6" w:space="5" w:color="CCCCCC"/>
            <w:right w:val="none" w:sz="0" w:space="0" w:color="auto"/>
          </w:divBdr>
          <w:divsChild>
            <w:div w:id="709190291">
              <w:marLeft w:val="0"/>
              <w:marRight w:val="386"/>
              <w:marTop w:val="0"/>
              <w:marBottom w:val="0"/>
              <w:divBdr>
                <w:top w:val="none" w:sz="0" w:space="0" w:color="auto"/>
                <w:left w:val="none" w:sz="0" w:space="0" w:color="auto"/>
                <w:bottom w:val="none" w:sz="0" w:space="0" w:color="auto"/>
                <w:right w:val="none" w:sz="0" w:space="0" w:color="auto"/>
              </w:divBdr>
            </w:div>
          </w:divsChild>
        </w:div>
        <w:div w:id="1171330551">
          <w:blockQuote w:val="1"/>
          <w:marLeft w:val="720"/>
          <w:marRight w:val="720"/>
          <w:marTop w:val="100"/>
          <w:marBottom w:val="100"/>
          <w:divBdr>
            <w:top w:val="none" w:sz="0" w:space="0" w:color="auto"/>
            <w:left w:val="dotted" w:sz="12" w:space="14" w:color="0066CC"/>
            <w:bottom w:val="none" w:sz="0" w:space="0" w:color="auto"/>
            <w:right w:val="none" w:sz="0" w:space="0" w:color="auto"/>
          </w:divBdr>
        </w:div>
        <w:div w:id="579994801">
          <w:blockQuote w:val="1"/>
          <w:marLeft w:val="720"/>
          <w:marRight w:val="720"/>
          <w:marTop w:val="100"/>
          <w:marBottom w:val="100"/>
          <w:divBdr>
            <w:top w:val="none" w:sz="0" w:space="0" w:color="auto"/>
            <w:left w:val="dotted" w:sz="12" w:space="14" w:color="0066CC"/>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bmj.com/content/364/bmj.l5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1373</Words>
  <Characters>7552</Characters>
  <Application>Microsoft Office Word</Application>
  <DocSecurity>0</DocSecurity>
  <Lines>62</Lines>
  <Paragraphs>17</Paragraphs>
  <ScaleCrop>false</ScaleCrop>
  <Company>company</Company>
  <LinksUpToDate>false</LinksUpToDate>
  <CharactersWithSpaces>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Full name</dc:creator>
  <cp:keywords/>
  <dc:description/>
  <cp:lastModifiedBy>Full name</cp:lastModifiedBy>
  <cp:revision>1</cp:revision>
  <dcterms:created xsi:type="dcterms:W3CDTF">2019-03-05T22:52:00Z</dcterms:created>
  <dcterms:modified xsi:type="dcterms:W3CDTF">2019-03-05T22:54:00Z</dcterms:modified>
</cp:coreProperties>
</file>